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50</w:t>
      </w:r>
    </w:p>
    <w:p>
      <w:pPr>
        <w:pStyle w:val="BodyText"/>
        <w:spacing w:before="2"/>
        <w:rPr>
          <w:b/>
          <w:sz w:val="16"/>
        </w:rPr>
      </w:pPr>
    </w:p>
    <w:p>
      <w:pPr>
        <w:pStyle w:val="BodyText"/>
        <w:spacing w:before="90"/>
        <w:ind w:left="120"/>
      </w:pPr>
      <w:r>
        <w:rPr/>
        <w:t>Introduced by the Law &amp; Courts and Finance Committees of the:</w:t>
      </w:r>
    </w:p>
    <w:p>
      <w:pPr>
        <w:pStyle w:val="BodyText"/>
      </w:pPr>
    </w:p>
    <w:p>
      <w:pPr>
        <w:pStyle w:val="BodyText"/>
        <w:ind w:left="290" w:right="274"/>
        <w:jc w:val="center"/>
      </w:pPr>
      <w:r>
        <w:rPr/>
        <w:t>INGHAM COUNTY BOARD OF COMMISSIONERS</w:t>
      </w:r>
    </w:p>
    <w:p>
      <w:pPr>
        <w:pStyle w:val="BodyText"/>
      </w:pPr>
    </w:p>
    <w:p>
      <w:pPr>
        <w:pStyle w:val="Heading1"/>
        <w:spacing w:line="480" w:lineRule="auto"/>
        <w:ind w:left="295" w:right="274"/>
      </w:pPr>
      <w:r>
        <w:rPr/>
        <w:t>RESOLUTION TO AUTHORIZE CONTRACTS WITH VARIOUS RESIDENTIAL PLACEMENTS RESOLUTION #26 – 467</w:t>
      </w:r>
    </w:p>
    <w:p>
      <w:pPr>
        <w:pStyle w:val="BodyText"/>
        <w:rPr>
          <w:b/>
        </w:rPr>
      </w:pPr>
    </w:p>
    <w:p>
      <w:pPr>
        <w:pStyle w:val="BodyText"/>
        <w:ind w:left="120" w:right="228"/>
      </w:pPr>
      <w:r>
        <w:rPr/>
        <w:t>WHEREAS, the Ingham County Circuit Court Juvenile Division, after hearing testimony and making findings, may issue an order placing juveniles in an appropriate treatment facility; and</w:t>
      </w:r>
    </w:p>
    <w:p>
      <w:pPr>
        <w:pStyle w:val="BodyText"/>
      </w:pPr>
    </w:p>
    <w:p>
      <w:pPr>
        <w:pStyle w:val="BodyText"/>
        <w:ind w:left="119" w:right="638"/>
      </w:pPr>
      <w:r>
        <w:rPr/>
        <w:t>WHEREAS, the Ingham County Circuit Court Juvenile Division would like to enter into single placing agreements or three-year contracts with various residential treatment facilities for the purpose of providing treatment intervention to adjudicated delinquent youth; and</w:t>
      </w:r>
    </w:p>
    <w:p>
      <w:pPr>
        <w:pStyle w:val="BodyText"/>
      </w:pPr>
    </w:p>
    <w:p>
      <w:pPr>
        <w:pStyle w:val="BodyText"/>
        <w:ind w:left="120" w:right="562"/>
      </w:pPr>
      <w:r>
        <w:rPr/>
        <w:t>WHEREAS, entering into contracts allows for the County to better forecast residential costs for the coming budget years and set standards for residential care; and</w:t>
      </w:r>
    </w:p>
    <w:p>
      <w:pPr>
        <w:pStyle w:val="BodyText"/>
      </w:pPr>
    </w:p>
    <w:p>
      <w:pPr>
        <w:pStyle w:val="BodyText"/>
        <w:ind w:left="120"/>
      </w:pPr>
      <w:r>
        <w:rPr/>
        <w:t>WHEREAS, the Ingham County Circuit Court Juvenile Division conducts ongoing examination of the treatment facilities to ensure services are being delivered appropriately and effectively; and</w:t>
      </w:r>
    </w:p>
    <w:p>
      <w:pPr>
        <w:pStyle w:val="BodyText"/>
      </w:pPr>
    </w:p>
    <w:p>
      <w:pPr>
        <w:pStyle w:val="BodyText"/>
        <w:ind w:left="120"/>
      </w:pPr>
      <w:r>
        <w:rPr/>
        <w:t>WHEREAS, a list of residential placement facilities and per diems can be found attached to this resolution.</w:t>
      </w:r>
    </w:p>
    <w:p>
      <w:pPr>
        <w:pStyle w:val="BodyText"/>
      </w:pPr>
    </w:p>
    <w:p>
      <w:pPr>
        <w:pStyle w:val="BodyText"/>
        <w:ind w:left="120" w:right="430"/>
      </w:pPr>
      <w:r>
        <w:rPr/>
        <w:t>THEREFORE BE IT RESOLVED, that the Ingham County Board of Commissioners hereby authorizes an agreement with the attached list of residential treatment facilities for the care and treatment services of Court adjudicated youth not to exceed the per diems listed in the same attachment for the time period of October 1, 2026 through September 30, 2029.</w:t>
      </w:r>
    </w:p>
    <w:p>
      <w:pPr>
        <w:pStyle w:val="BodyText"/>
      </w:pPr>
    </w:p>
    <w:p>
      <w:pPr>
        <w:pStyle w:val="BodyText"/>
        <w:spacing w:before="1"/>
        <w:ind w:left="120" w:right="182"/>
      </w:pPr>
      <w:r>
        <w:rPr/>
        <w:t>BE IT FURTHER RESOLVED, that expenditures under these agreements shall not exceed $1,689,835 in any County fiscal year and shall be limited to amounts annually appropriated by the Board of Commissioners in the applicable Juvenile Division residential placement line items within the Child Care Fund.</w:t>
      </w:r>
    </w:p>
    <w:p>
      <w:pPr>
        <w:pStyle w:val="BodyText"/>
        <w:spacing w:before="11"/>
        <w:rPr>
          <w:sz w:val="23"/>
        </w:rPr>
      </w:pPr>
    </w:p>
    <w:p>
      <w:pPr>
        <w:pStyle w:val="BodyText"/>
        <w:ind w:left="120" w:right="108"/>
      </w:pPr>
      <w:r>
        <w:rPr/>
        <w:t>BE IT FURTHER RESOLVED, that the Chairperson of the Ingham County Board of Commissioners is authorized to sign documents as prepared by or approved as to form by the County Attorney consistent with this resolution.</w:t>
      </w:r>
    </w:p>
    <w:p>
      <w:pPr>
        <w:pStyle w:val="BodyText"/>
      </w:pPr>
    </w:p>
    <w:p>
      <w:pPr>
        <w:spacing w:before="0"/>
        <w:ind w:left="120" w:right="0" w:firstLine="0"/>
        <w:jc w:val="left"/>
        <w:rPr>
          <w:sz w:val="24"/>
        </w:rPr>
      </w:pPr>
      <w:r>
        <w:rPr>
          <w:b/>
          <w:sz w:val="24"/>
        </w:rPr>
        <w:t>LAW &amp; COURTS: Yeas</w:t>
      </w:r>
      <w:r>
        <w:rPr>
          <w:sz w:val="24"/>
        </w:rPr>
        <w:t>: Polsdofer, Willis, Trubac, Peña, Cahill, Lawrence, Johnson</w:t>
      </w:r>
    </w:p>
    <w:p>
      <w:pPr>
        <w:tabs>
          <w:tab w:pos="2231" w:val="left" w:leader="none"/>
          <w:tab w:pos="4123"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56"/>
          <w:sz w:val="24"/>
        </w:rPr>
        <w:t> </w:t>
      </w:r>
      <w:r>
        <w:rPr>
          <w:sz w:val="24"/>
        </w:rPr>
        <w:t>Schafer</w:t>
        <w:tab/>
      </w:r>
      <w:r>
        <w:rPr>
          <w:b/>
          <w:sz w:val="24"/>
        </w:rPr>
        <w:t>Approved  09/10/26</w:t>
      </w:r>
    </w:p>
    <w:p>
      <w:pPr>
        <w:pStyle w:val="BodyText"/>
        <w:rPr>
          <w:b/>
        </w:rPr>
      </w:pPr>
    </w:p>
    <w:p>
      <w:pPr>
        <w:spacing w:before="0"/>
        <w:ind w:left="120" w:right="0" w:firstLine="0"/>
        <w:jc w:val="left"/>
        <w:rPr>
          <w:sz w:val="24"/>
        </w:rPr>
      </w:pPr>
      <w:r>
        <w:rPr>
          <w:b/>
          <w:sz w:val="24"/>
        </w:rPr>
        <w:t>FINANCE: Yeas: </w:t>
      </w:r>
      <w:r>
        <w:rPr>
          <w:sz w:val="24"/>
        </w:rPr>
        <w:t>Grebner, Morgan, Tennis, Sebolt, Maiville</w:t>
      </w:r>
    </w:p>
    <w:p>
      <w:pPr>
        <w:tabs>
          <w:tab w:pos="2183" w:val="left" w:leader="none"/>
          <w:tab w:pos="4900"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p>
      <w:pPr>
        <w:spacing w:after="0"/>
        <w:jc w:val="left"/>
        <w:rPr>
          <w:sz w:val="24"/>
        </w:rPr>
        <w:sectPr>
          <w:type w:val="continuous"/>
          <w:pgSz w:w="12240" w:h="15840"/>
          <w:pgMar w:top="1360" w:bottom="280" w:left="600" w:right="620"/>
        </w:sectPr>
      </w:pPr>
    </w:p>
    <w:p>
      <w:pPr>
        <w:pStyle w:val="BodyText"/>
        <w:spacing w:before="10"/>
        <w:rPr>
          <w:b/>
          <w:sz w:val="10"/>
        </w:rPr>
      </w:pPr>
    </w:p>
    <w:p>
      <w:pPr>
        <w:pStyle w:val="BodyText"/>
        <w:spacing w:before="90"/>
        <w:ind w:left="293" w:right="274"/>
        <w:jc w:val="center"/>
      </w:pPr>
      <w:r>
        <w:rPr/>
        <w:t>Ingham County Circuit Court – Juvenile Division</w:t>
      </w:r>
    </w:p>
    <w:p>
      <w:pPr>
        <w:pStyle w:val="Heading1"/>
        <w:ind w:left="291" w:right="274"/>
      </w:pPr>
      <w:r>
        <w:rPr/>
        <w:t>Residential Placements</w:t>
      </w:r>
    </w:p>
    <w:p>
      <w:pPr>
        <w:pStyle w:val="BodyText"/>
        <w:spacing w:before="1"/>
        <w:rPr>
          <w:b/>
        </w:rPr>
      </w:pPr>
    </w:p>
    <w:tbl>
      <w:tblPr>
        <w:tblW w:w="0" w:type="auto"/>
        <w:jc w:val="left"/>
        <w:tblInd w:w="7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3"/>
        <w:gridCol w:w="4207"/>
      </w:tblGrid>
      <w:tr>
        <w:trPr>
          <w:trHeight w:val="561" w:hRule="atLeast"/>
        </w:trPr>
        <w:tc>
          <w:tcPr>
            <w:tcW w:w="4253" w:type="dxa"/>
            <w:shd w:val="clear" w:color="auto" w:fill="D9D9D9"/>
          </w:tcPr>
          <w:p>
            <w:pPr>
              <w:pStyle w:val="TableParagraph"/>
              <w:spacing w:before="10"/>
              <w:ind w:left="0"/>
              <w:rPr>
                <w:b/>
                <w:sz w:val="23"/>
              </w:rPr>
            </w:pPr>
          </w:p>
          <w:p>
            <w:pPr>
              <w:pStyle w:val="TableParagraph"/>
              <w:spacing w:line="266" w:lineRule="exact" w:before="0"/>
              <w:ind w:left="959"/>
              <w:rPr>
                <w:b/>
                <w:sz w:val="24"/>
              </w:rPr>
            </w:pPr>
            <w:r>
              <w:rPr>
                <w:b/>
                <w:sz w:val="24"/>
              </w:rPr>
              <w:t>PLACEMENT NAME</w:t>
            </w:r>
          </w:p>
        </w:tc>
        <w:tc>
          <w:tcPr>
            <w:tcW w:w="4207" w:type="dxa"/>
            <w:shd w:val="clear" w:color="auto" w:fill="D9D9D9"/>
          </w:tcPr>
          <w:p>
            <w:pPr>
              <w:pStyle w:val="TableParagraph"/>
              <w:spacing w:before="10"/>
              <w:ind w:left="0"/>
              <w:rPr>
                <w:b/>
                <w:sz w:val="23"/>
              </w:rPr>
            </w:pPr>
          </w:p>
          <w:p>
            <w:pPr>
              <w:pStyle w:val="TableParagraph"/>
              <w:spacing w:line="266" w:lineRule="exact" w:before="0"/>
              <w:ind w:left="1074"/>
              <w:rPr>
                <w:b/>
                <w:sz w:val="24"/>
              </w:rPr>
            </w:pPr>
            <w:r>
              <w:rPr>
                <w:b/>
                <w:sz w:val="24"/>
              </w:rPr>
              <w:t>PER DIEM RATES</w:t>
            </w:r>
          </w:p>
        </w:tc>
      </w:tr>
      <w:tr>
        <w:trPr>
          <w:trHeight w:val="563" w:hRule="atLeast"/>
        </w:trPr>
        <w:tc>
          <w:tcPr>
            <w:tcW w:w="4253" w:type="dxa"/>
          </w:tcPr>
          <w:p>
            <w:pPr>
              <w:pStyle w:val="TableParagraph"/>
              <w:ind w:left="105"/>
              <w:rPr>
                <w:sz w:val="24"/>
              </w:rPr>
            </w:pPr>
            <w:r>
              <w:rPr>
                <w:sz w:val="24"/>
              </w:rPr>
              <w:t>Abraxas Academy</w:t>
            </w:r>
          </w:p>
        </w:tc>
        <w:tc>
          <w:tcPr>
            <w:tcW w:w="4207" w:type="dxa"/>
          </w:tcPr>
          <w:p>
            <w:pPr>
              <w:pStyle w:val="TableParagraph"/>
              <w:rPr>
                <w:sz w:val="24"/>
              </w:rPr>
            </w:pPr>
            <w:r>
              <w:rPr>
                <w:sz w:val="24"/>
              </w:rPr>
              <w:t>Not to exceed $1,350.00</w:t>
            </w:r>
          </w:p>
        </w:tc>
      </w:tr>
      <w:tr>
        <w:trPr>
          <w:trHeight w:val="561" w:hRule="atLeast"/>
        </w:trPr>
        <w:tc>
          <w:tcPr>
            <w:tcW w:w="4253" w:type="dxa"/>
          </w:tcPr>
          <w:p>
            <w:pPr>
              <w:pStyle w:val="TableParagraph"/>
              <w:spacing w:before="140"/>
              <w:ind w:left="105"/>
              <w:rPr>
                <w:sz w:val="24"/>
              </w:rPr>
            </w:pPr>
            <w:r>
              <w:rPr>
                <w:sz w:val="24"/>
              </w:rPr>
              <w:t>Abraxas 1</w:t>
            </w:r>
          </w:p>
        </w:tc>
        <w:tc>
          <w:tcPr>
            <w:tcW w:w="4207" w:type="dxa"/>
          </w:tcPr>
          <w:p>
            <w:pPr>
              <w:pStyle w:val="TableParagraph"/>
              <w:spacing w:before="140"/>
              <w:rPr>
                <w:sz w:val="24"/>
              </w:rPr>
            </w:pPr>
            <w:r>
              <w:rPr>
                <w:sz w:val="24"/>
              </w:rPr>
              <w:t>Not to exceed $1,057.00</w:t>
            </w:r>
          </w:p>
        </w:tc>
      </w:tr>
      <w:tr>
        <w:trPr>
          <w:trHeight w:val="561" w:hRule="atLeast"/>
        </w:trPr>
        <w:tc>
          <w:tcPr>
            <w:tcW w:w="4253" w:type="dxa"/>
          </w:tcPr>
          <w:p>
            <w:pPr>
              <w:pStyle w:val="TableParagraph"/>
              <w:ind w:left="105"/>
              <w:rPr>
                <w:sz w:val="24"/>
              </w:rPr>
            </w:pPr>
            <w:r>
              <w:rPr>
                <w:sz w:val="24"/>
              </w:rPr>
              <w:t>Abraxas Leadership Development Center</w:t>
            </w:r>
          </w:p>
        </w:tc>
        <w:tc>
          <w:tcPr>
            <w:tcW w:w="4207" w:type="dxa"/>
          </w:tcPr>
          <w:p>
            <w:pPr>
              <w:pStyle w:val="TableParagraph"/>
              <w:rPr>
                <w:sz w:val="24"/>
              </w:rPr>
            </w:pPr>
            <w:r>
              <w:rPr>
                <w:sz w:val="24"/>
              </w:rPr>
              <w:t>Not to exceed $943.00</w:t>
            </w:r>
          </w:p>
        </w:tc>
      </w:tr>
      <w:tr>
        <w:trPr>
          <w:trHeight w:val="563" w:hRule="atLeast"/>
        </w:trPr>
        <w:tc>
          <w:tcPr>
            <w:tcW w:w="4253" w:type="dxa"/>
          </w:tcPr>
          <w:p>
            <w:pPr>
              <w:pStyle w:val="TableParagraph"/>
              <w:ind w:left="105"/>
              <w:rPr>
                <w:sz w:val="24"/>
              </w:rPr>
            </w:pPr>
            <w:r>
              <w:rPr>
                <w:sz w:val="24"/>
              </w:rPr>
              <w:t>Abraxas Youth Center</w:t>
            </w:r>
          </w:p>
        </w:tc>
        <w:tc>
          <w:tcPr>
            <w:tcW w:w="4207" w:type="dxa"/>
          </w:tcPr>
          <w:p>
            <w:pPr>
              <w:pStyle w:val="TableParagraph"/>
              <w:rPr>
                <w:sz w:val="24"/>
              </w:rPr>
            </w:pPr>
            <w:r>
              <w:rPr>
                <w:sz w:val="24"/>
              </w:rPr>
              <w:t>Not to exceed $907.00</w:t>
            </w:r>
          </w:p>
        </w:tc>
      </w:tr>
      <w:tr>
        <w:trPr>
          <w:trHeight w:val="561" w:hRule="atLeast"/>
        </w:trPr>
        <w:tc>
          <w:tcPr>
            <w:tcW w:w="4253" w:type="dxa"/>
          </w:tcPr>
          <w:p>
            <w:pPr>
              <w:pStyle w:val="TableParagraph"/>
              <w:spacing w:before="140"/>
              <w:ind w:left="105"/>
              <w:rPr>
                <w:sz w:val="24"/>
              </w:rPr>
            </w:pPr>
            <w:r>
              <w:rPr>
                <w:sz w:val="24"/>
              </w:rPr>
              <w:t>Abraxas Ohio</w:t>
            </w:r>
          </w:p>
        </w:tc>
        <w:tc>
          <w:tcPr>
            <w:tcW w:w="4207" w:type="dxa"/>
          </w:tcPr>
          <w:p>
            <w:pPr>
              <w:pStyle w:val="TableParagraph"/>
              <w:spacing w:before="140"/>
              <w:rPr>
                <w:sz w:val="24"/>
              </w:rPr>
            </w:pPr>
            <w:r>
              <w:rPr>
                <w:sz w:val="24"/>
              </w:rPr>
              <w:t>Not to exceed $955</w:t>
            </w:r>
          </w:p>
        </w:tc>
      </w:tr>
      <w:tr>
        <w:trPr>
          <w:trHeight w:val="561" w:hRule="atLeast"/>
        </w:trPr>
        <w:tc>
          <w:tcPr>
            <w:tcW w:w="4253" w:type="dxa"/>
          </w:tcPr>
          <w:p>
            <w:pPr>
              <w:pStyle w:val="TableParagraph"/>
              <w:ind w:left="105"/>
              <w:rPr>
                <w:sz w:val="24"/>
              </w:rPr>
            </w:pPr>
            <w:r>
              <w:rPr>
                <w:sz w:val="24"/>
              </w:rPr>
              <w:t>Bethany Christian Services</w:t>
            </w:r>
          </w:p>
        </w:tc>
        <w:tc>
          <w:tcPr>
            <w:tcW w:w="4207" w:type="dxa"/>
          </w:tcPr>
          <w:p>
            <w:pPr>
              <w:pStyle w:val="TableParagraph"/>
              <w:spacing w:before="3"/>
              <w:rPr>
                <w:sz w:val="24"/>
              </w:rPr>
            </w:pPr>
            <w:r>
              <w:rPr>
                <w:sz w:val="24"/>
              </w:rPr>
              <w:t>Not to exceed state rate, current rate is</w:t>
            </w:r>
          </w:p>
          <w:p>
            <w:pPr>
              <w:pStyle w:val="TableParagraph"/>
              <w:spacing w:line="261" w:lineRule="exact" w:before="0"/>
              <w:rPr>
                <w:sz w:val="24"/>
              </w:rPr>
            </w:pPr>
            <w:r>
              <w:rPr>
                <w:sz w:val="24"/>
              </w:rPr>
              <w:t>$729.49</w:t>
            </w:r>
          </w:p>
        </w:tc>
      </w:tr>
      <w:tr>
        <w:trPr>
          <w:trHeight w:val="563" w:hRule="atLeast"/>
        </w:trPr>
        <w:tc>
          <w:tcPr>
            <w:tcW w:w="4253" w:type="dxa"/>
          </w:tcPr>
          <w:p>
            <w:pPr>
              <w:pStyle w:val="TableParagraph"/>
              <w:ind w:left="105"/>
              <w:rPr>
                <w:sz w:val="24"/>
              </w:rPr>
            </w:pPr>
            <w:r>
              <w:rPr>
                <w:sz w:val="24"/>
              </w:rPr>
              <w:t>Boys Town</w:t>
            </w:r>
          </w:p>
        </w:tc>
        <w:tc>
          <w:tcPr>
            <w:tcW w:w="4207" w:type="dxa"/>
          </w:tcPr>
          <w:p>
            <w:pPr>
              <w:pStyle w:val="TableParagraph"/>
              <w:rPr>
                <w:sz w:val="24"/>
              </w:rPr>
            </w:pPr>
            <w:r>
              <w:rPr>
                <w:sz w:val="24"/>
              </w:rPr>
              <w:t>$295.00</w:t>
            </w:r>
          </w:p>
        </w:tc>
      </w:tr>
      <w:tr>
        <w:trPr>
          <w:trHeight w:val="561" w:hRule="atLeast"/>
        </w:trPr>
        <w:tc>
          <w:tcPr>
            <w:tcW w:w="4253" w:type="dxa"/>
          </w:tcPr>
          <w:p>
            <w:pPr>
              <w:pStyle w:val="TableParagraph"/>
              <w:spacing w:before="140"/>
              <w:ind w:left="105"/>
              <w:rPr>
                <w:sz w:val="24"/>
              </w:rPr>
            </w:pPr>
            <w:r>
              <w:rPr>
                <w:sz w:val="24"/>
              </w:rPr>
              <w:t>Calhoun County Youth Center</w:t>
            </w:r>
          </w:p>
        </w:tc>
        <w:tc>
          <w:tcPr>
            <w:tcW w:w="4207" w:type="dxa"/>
          </w:tcPr>
          <w:p>
            <w:pPr>
              <w:pStyle w:val="TableParagraph"/>
              <w:spacing w:before="140"/>
              <w:rPr>
                <w:sz w:val="24"/>
              </w:rPr>
            </w:pPr>
            <w:r>
              <w:rPr>
                <w:sz w:val="24"/>
              </w:rPr>
              <w:t>Not to exceed $450.00</w:t>
            </w:r>
          </w:p>
        </w:tc>
      </w:tr>
      <w:tr>
        <w:trPr>
          <w:trHeight w:val="561" w:hRule="atLeast"/>
        </w:trPr>
        <w:tc>
          <w:tcPr>
            <w:tcW w:w="4253" w:type="dxa"/>
          </w:tcPr>
          <w:p>
            <w:pPr>
              <w:pStyle w:val="TableParagraph"/>
              <w:ind w:left="105"/>
              <w:rPr>
                <w:sz w:val="24"/>
              </w:rPr>
            </w:pPr>
            <w:r>
              <w:rPr>
                <w:sz w:val="24"/>
              </w:rPr>
              <w:t>Camp Oakland</w:t>
            </w:r>
          </w:p>
        </w:tc>
        <w:tc>
          <w:tcPr>
            <w:tcW w:w="4207" w:type="dxa"/>
          </w:tcPr>
          <w:p>
            <w:pPr>
              <w:pStyle w:val="TableParagraph"/>
              <w:rPr>
                <w:sz w:val="24"/>
              </w:rPr>
            </w:pPr>
            <w:r>
              <w:rPr>
                <w:sz w:val="24"/>
              </w:rPr>
              <w:t>Not to exceed $600.00</w:t>
            </w:r>
          </w:p>
        </w:tc>
      </w:tr>
      <w:tr>
        <w:trPr>
          <w:trHeight w:val="563" w:hRule="atLeast"/>
        </w:trPr>
        <w:tc>
          <w:tcPr>
            <w:tcW w:w="4253" w:type="dxa"/>
          </w:tcPr>
          <w:p>
            <w:pPr>
              <w:pStyle w:val="TableParagraph"/>
              <w:ind w:left="105"/>
              <w:rPr>
                <w:sz w:val="24"/>
              </w:rPr>
            </w:pPr>
            <w:r>
              <w:rPr>
                <w:sz w:val="24"/>
              </w:rPr>
              <w:t>Eaton County Youth Facility</w:t>
            </w:r>
          </w:p>
        </w:tc>
        <w:tc>
          <w:tcPr>
            <w:tcW w:w="4207" w:type="dxa"/>
          </w:tcPr>
          <w:p>
            <w:pPr>
              <w:pStyle w:val="TableParagraph"/>
              <w:rPr>
                <w:sz w:val="24"/>
              </w:rPr>
            </w:pPr>
            <w:r>
              <w:rPr>
                <w:sz w:val="24"/>
              </w:rPr>
              <w:t>Not to exceed $425.00</w:t>
            </w:r>
          </w:p>
        </w:tc>
      </w:tr>
      <w:tr>
        <w:trPr>
          <w:trHeight w:val="561" w:hRule="atLeast"/>
        </w:trPr>
        <w:tc>
          <w:tcPr>
            <w:tcW w:w="4253" w:type="dxa"/>
          </w:tcPr>
          <w:p>
            <w:pPr>
              <w:pStyle w:val="TableParagraph"/>
              <w:spacing w:before="140"/>
              <w:ind w:left="105"/>
              <w:rPr>
                <w:sz w:val="24"/>
              </w:rPr>
            </w:pPr>
            <w:r>
              <w:rPr>
                <w:sz w:val="24"/>
              </w:rPr>
              <w:t>Highfields</w:t>
            </w:r>
          </w:p>
        </w:tc>
        <w:tc>
          <w:tcPr>
            <w:tcW w:w="4207" w:type="dxa"/>
          </w:tcPr>
          <w:p>
            <w:pPr>
              <w:pStyle w:val="TableParagraph"/>
              <w:spacing w:before="140"/>
              <w:rPr>
                <w:sz w:val="24"/>
              </w:rPr>
            </w:pPr>
            <w:r>
              <w:rPr>
                <w:sz w:val="24"/>
              </w:rPr>
              <w:t>Not to exceed $500.00</w:t>
            </w:r>
          </w:p>
        </w:tc>
      </w:tr>
      <w:tr>
        <w:trPr>
          <w:trHeight w:val="561" w:hRule="atLeast"/>
        </w:trPr>
        <w:tc>
          <w:tcPr>
            <w:tcW w:w="4253" w:type="dxa"/>
          </w:tcPr>
          <w:p>
            <w:pPr>
              <w:pStyle w:val="TableParagraph"/>
              <w:ind w:left="105"/>
              <w:rPr>
                <w:sz w:val="24"/>
              </w:rPr>
            </w:pPr>
            <w:r>
              <w:rPr>
                <w:sz w:val="24"/>
              </w:rPr>
              <w:t>Jackson County Youth Center</w:t>
            </w:r>
          </w:p>
        </w:tc>
        <w:tc>
          <w:tcPr>
            <w:tcW w:w="4207" w:type="dxa"/>
          </w:tcPr>
          <w:p>
            <w:pPr>
              <w:pStyle w:val="TableParagraph"/>
              <w:rPr>
                <w:sz w:val="24"/>
              </w:rPr>
            </w:pPr>
            <w:r>
              <w:rPr>
                <w:sz w:val="24"/>
              </w:rPr>
              <w:t>Not to exceed $375.00</w:t>
            </w:r>
          </w:p>
        </w:tc>
      </w:tr>
      <w:tr>
        <w:trPr>
          <w:trHeight w:val="563" w:hRule="atLeast"/>
        </w:trPr>
        <w:tc>
          <w:tcPr>
            <w:tcW w:w="4253" w:type="dxa"/>
          </w:tcPr>
          <w:p>
            <w:pPr>
              <w:pStyle w:val="TableParagraph"/>
              <w:ind w:left="105"/>
              <w:rPr>
                <w:sz w:val="24"/>
              </w:rPr>
            </w:pPr>
            <w:r>
              <w:rPr>
                <w:sz w:val="24"/>
              </w:rPr>
              <w:t>New Outlook Academy</w:t>
            </w:r>
          </w:p>
        </w:tc>
        <w:tc>
          <w:tcPr>
            <w:tcW w:w="4207" w:type="dxa"/>
          </w:tcPr>
          <w:p>
            <w:pPr>
              <w:pStyle w:val="TableParagraph"/>
              <w:rPr>
                <w:sz w:val="24"/>
              </w:rPr>
            </w:pPr>
            <w:r>
              <w:rPr>
                <w:sz w:val="24"/>
              </w:rPr>
              <w:t>Not to exceed $550.00</w:t>
            </w:r>
          </w:p>
        </w:tc>
      </w:tr>
      <w:tr>
        <w:trPr>
          <w:trHeight w:val="561" w:hRule="atLeast"/>
        </w:trPr>
        <w:tc>
          <w:tcPr>
            <w:tcW w:w="4253" w:type="dxa"/>
          </w:tcPr>
          <w:p>
            <w:pPr>
              <w:pStyle w:val="TableParagraph"/>
              <w:spacing w:before="140"/>
              <w:ind w:left="105"/>
              <w:rPr>
                <w:sz w:val="24"/>
              </w:rPr>
            </w:pPr>
            <w:r>
              <w:rPr>
                <w:sz w:val="24"/>
              </w:rPr>
              <w:t>Ottawa County Youth Facility</w:t>
            </w:r>
          </w:p>
        </w:tc>
        <w:tc>
          <w:tcPr>
            <w:tcW w:w="4207" w:type="dxa"/>
          </w:tcPr>
          <w:p>
            <w:pPr>
              <w:pStyle w:val="TableParagraph"/>
              <w:spacing w:before="140"/>
              <w:rPr>
                <w:sz w:val="24"/>
              </w:rPr>
            </w:pPr>
            <w:r>
              <w:rPr>
                <w:sz w:val="24"/>
              </w:rPr>
              <w:t>Not to exceed $450.00</w:t>
            </w:r>
          </w:p>
        </w:tc>
      </w:tr>
      <w:tr>
        <w:trPr>
          <w:trHeight w:val="561" w:hRule="atLeast"/>
        </w:trPr>
        <w:tc>
          <w:tcPr>
            <w:tcW w:w="4253" w:type="dxa"/>
          </w:tcPr>
          <w:p>
            <w:pPr>
              <w:pStyle w:val="TableParagraph"/>
              <w:ind w:left="105"/>
              <w:rPr>
                <w:sz w:val="24"/>
              </w:rPr>
            </w:pPr>
            <w:r>
              <w:rPr>
                <w:sz w:val="24"/>
              </w:rPr>
              <w:t>Pineview Homes</w:t>
            </w:r>
          </w:p>
        </w:tc>
        <w:tc>
          <w:tcPr>
            <w:tcW w:w="4207" w:type="dxa"/>
          </w:tcPr>
          <w:p>
            <w:pPr>
              <w:pStyle w:val="TableParagraph"/>
              <w:rPr>
                <w:sz w:val="24"/>
              </w:rPr>
            </w:pPr>
            <w:r>
              <w:rPr>
                <w:sz w:val="24"/>
              </w:rPr>
              <w:t>Not to exceed $400.00</w:t>
            </w:r>
          </w:p>
        </w:tc>
      </w:tr>
      <w:tr>
        <w:trPr>
          <w:trHeight w:val="563" w:hRule="atLeast"/>
        </w:trPr>
        <w:tc>
          <w:tcPr>
            <w:tcW w:w="4253" w:type="dxa"/>
          </w:tcPr>
          <w:p>
            <w:pPr>
              <w:pStyle w:val="TableParagraph"/>
              <w:ind w:left="105"/>
              <w:rPr>
                <w:sz w:val="24"/>
              </w:rPr>
            </w:pPr>
            <w:r>
              <w:rPr>
                <w:sz w:val="24"/>
              </w:rPr>
              <w:t>Rite of Passage: Canyon State Academy</w:t>
            </w:r>
          </w:p>
        </w:tc>
        <w:tc>
          <w:tcPr>
            <w:tcW w:w="4207" w:type="dxa"/>
          </w:tcPr>
          <w:p>
            <w:pPr>
              <w:pStyle w:val="TableParagraph"/>
              <w:rPr>
                <w:sz w:val="24"/>
              </w:rPr>
            </w:pPr>
            <w:r>
              <w:rPr>
                <w:sz w:val="24"/>
              </w:rPr>
              <w:t>Not to exceed $475.00</w:t>
            </w:r>
          </w:p>
        </w:tc>
      </w:tr>
      <w:tr>
        <w:trPr>
          <w:trHeight w:val="561" w:hRule="atLeast"/>
        </w:trPr>
        <w:tc>
          <w:tcPr>
            <w:tcW w:w="4253" w:type="dxa"/>
          </w:tcPr>
          <w:p>
            <w:pPr>
              <w:pStyle w:val="TableParagraph"/>
              <w:spacing w:before="140"/>
              <w:ind w:left="105"/>
              <w:rPr>
                <w:sz w:val="24"/>
              </w:rPr>
            </w:pPr>
            <w:r>
              <w:rPr>
                <w:sz w:val="24"/>
              </w:rPr>
              <w:t>Rite of Passage: DePaul Academy</w:t>
            </w:r>
          </w:p>
        </w:tc>
        <w:tc>
          <w:tcPr>
            <w:tcW w:w="4207" w:type="dxa"/>
          </w:tcPr>
          <w:p>
            <w:pPr>
              <w:pStyle w:val="TableParagraph"/>
              <w:spacing w:before="140"/>
              <w:rPr>
                <w:sz w:val="24"/>
              </w:rPr>
            </w:pPr>
            <w:r>
              <w:rPr>
                <w:sz w:val="24"/>
              </w:rPr>
              <w:t>Not to exceed $650.00</w:t>
            </w:r>
          </w:p>
        </w:tc>
      </w:tr>
      <w:tr>
        <w:trPr>
          <w:trHeight w:val="561" w:hRule="atLeast"/>
        </w:trPr>
        <w:tc>
          <w:tcPr>
            <w:tcW w:w="4253" w:type="dxa"/>
          </w:tcPr>
          <w:p>
            <w:pPr>
              <w:pStyle w:val="TableParagraph"/>
              <w:ind w:left="105"/>
              <w:rPr>
                <w:sz w:val="24"/>
              </w:rPr>
            </w:pPr>
            <w:r>
              <w:rPr>
                <w:sz w:val="24"/>
              </w:rPr>
              <w:t>Rite of Passage: Desert Lilly Academy</w:t>
            </w:r>
          </w:p>
        </w:tc>
        <w:tc>
          <w:tcPr>
            <w:tcW w:w="4207" w:type="dxa"/>
          </w:tcPr>
          <w:p>
            <w:pPr>
              <w:pStyle w:val="TableParagraph"/>
              <w:rPr>
                <w:sz w:val="24"/>
              </w:rPr>
            </w:pPr>
            <w:r>
              <w:rPr>
                <w:sz w:val="24"/>
              </w:rPr>
              <w:t>Not to exceed $425.00</w:t>
            </w:r>
          </w:p>
        </w:tc>
      </w:tr>
      <w:tr>
        <w:trPr>
          <w:trHeight w:val="563" w:hRule="atLeast"/>
        </w:trPr>
        <w:tc>
          <w:tcPr>
            <w:tcW w:w="4253" w:type="dxa"/>
          </w:tcPr>
          <w:p>
            <w:pPr>
              <w:pStyle w:val="TableParagraph"/>
              <w:ind w:left="105"/>
              <w:rPr>
                <w:sz w:val="24"/>
              </w:rPr>
            </w:pPr>
            <w:r>
              <w:rPr>
                <w:sz w:val="24"/>
              </w:rPr>
              <w:t>Rite of Passage: Pearl Haven</w:t>
            </w:r>
          </w:p>
        </w:tc>
        <w:tc>
          <w:tcPr>
            <w:tcW w:w="4207" w:type="dxa"/>
          </w:tcPr>
          <w:p>
            <w:pPr>
              <w:pStyle w:val="TableParagraph"/>
              <w:rPr>
                <w:sz w:val="24"/>
              </w:rPr>
            </w:pPr>
            <w:r>
              <w:rPr>
                <w:sz w:val="24"/>
              </w:rPr>
              <w:t>Not to exceed $950.00</w:t>
            </w:r>
          </w:p>
        </w:tc>
      </w:tr>
      <w:tr>
        <w:trPr>
          <w:trHeight w:val="561" w:hRule="atLeast"/>
        </w:trPr>
        <w:tc>
          <w:tcPr>
            <w:tcW w:w="4253" w:type="dxa"/>
          </w:tcPr>
          <w:p>
            <w:pPr>
              <w:pStyle w:val="TableParagraph"/>
              <w:spacing w:before="140"/>
              <w:ind w:left="105"/>
              <w:rPr>
                <w:sz w:val="24"/>
              </w:rPr>
            </w:pPr>
            <w:r>
              <w:rPr>
                <w:sz w:val="24"/>
              </w:rPr>
              <w:t>Rite of Passage: Safe Passage</w:t>
            </w:r>
          </w:p>
        </w:tc>
        <w:tc>
          <w:tcPr>
            <w:tcW w:w="4207" w:type="dxa"/>
          </w:tcPr>
          <w:p>
            <w:pPr>
              <w:pStyle w:val="TableParagraph"/>
              <w:spacing w:before="140"/>
              <w:rPr>
                <w:sz w:val="24"/>
              </w:rPr>
            </w:pPr>
            <w:r>
              <w:rPr>
                <w:sz w:val="24"/>
              </w:rPr>
              <w:t>Not to exceed $825.00</w:t>
            </w:r>
          </w:p>
        </w:tc>
      </w:tr>
    </w:tbl>
    <w:p>
      <w:pPr>
        <w:spacing w:after="0"/>
        <w:rPr>
          <w:sz w:val="24"/>
        </w:rPr>
        <w:sectPr>
          <w:pgSz w:w="12240" w:h="15840"/>
          <w:pgMar w:top="1500" w:bottom="280" w:left="600" w:right="620"/>
        </w:sectPr>
      </w:pPr>
    </w:p>
    <w:tbl>
      <w:tblPr>
        <w:tblW w:w="0" w:type="auto"/>
        <w:jc w:val="left"/>
        <w:tblInd w:w="7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3"/>
        <w:gridCol w:w="4207"/>
      </w:tblGrid>
      <w:tr>
        <w:trPr>
          <w:trHeight w:val="561" w:hRule="atLeast"/>
        </w:trPr>
        <w:tc>
          <w:tcPr>
            <w:tcW w:w="4253" w:type="dxa"/>
          </w:tcPr>
          <w:p>
            <w:pPr>
              <w:pStyle w:val="TableParagraph"/>
              <w:spacing w:line="276" w:lineRule="exact" w:before="2"/>
              <w:ind w:left="105" w:right="365"/>
              <w:rPr>
                <w:sz w:val="24"/>
              </w:rPr>
            </w:pPr>
            <w:r>
              <w:rPr>
                <w:sz w:val="24"/>
              </w:rPr>
              <w:t>Rite of Passage: Sierra Sage Treatment Center</w:t>
            </w:r>
          </w:p>
        </w:tc>
        <w:tc>
          <w:tcPr>
            <w:tcW w:w="4207" w:type="dxa"/>
          </w:tcPr>
          <w:p>
            <w:pPr>
              <w:pStyle w:val="TableParagraph"/>
              <w:spacing w:line="275" w:lineRule="exact" w:before="0"/>
              <w:rPr>
                <w:sz w:val="24"/>
              </w:rPr>
            </w:pPr>
            <w:r>
              <w:rPr>
                <w:sz w:val="24"/>
              </w:rPr>
              <w:t>Not to exceed $675.00</w:t>
            </w:r>
          </w:p>
        </w:tc>
      </w:tr>
      <w:tr>
        <w:trPr>
          <w:trHeight w:val="563" w:hRule="atLeast"/>
        </w:trPr>
        <w:tc>
          <w:tcPr>
            <w:tcW w:w="4253" w:type="dxa"/>
          </w:tcPr>
          <w:p>
            <w:pPr>
              <w:pStyle w:val="TableParagraph"/>
              <w:ind w:left="105"/>
              <w:rPr>
                <w:sz w:val="24"/>
              </w:rPr>
            </w:pPr>
            <w:r>
              <w:rPr>
                <w:sz w:val="24"/>
              </w:rPr>
              <w:t>Rite of Passage: Willard Peak</w:t>
            </w:r>
          </w:p>
        </w:tc>
        <w:tc>
          <w:tcPr>
            <w:tcW w:w="4207" w:type="dxa"/>
          </w:tcPr>
          <w:p>
            <w:pPr>
              <w:pStyle w:val="TableParagraph"/>
              <w:rPr>
                <w:sz w:val="24"/>
              </w:rPr>
            </w:pPr>
            <w:r>
              <w:rPr>
                <w:sz w:val="24"/>
              </w:rPr>
              <w:t>Not to Exceed $550.00</w:t>
            </w:r>
          </w:p>
        </w:tc>
      </w:tr>
      <w:tr>
        <w:trPr>
          <w:trHeight w:val="561" w:hRule="atLeast"/>
        </w:trPr>
        <w:tc>
          <w:tcPr>
            <w:tcW w:w="4253" w:type="dxa"/>
          </w:tcPr>
          <w:p>
            <w:pPr>
              <w:pStyle w:val="TableParagraph"/>
              <w:spacing w:before="140"/>
              <w:ind w:left="105"/>
              <w:rPr>
                <w:sz w:val="24"/>
              </w:rPr>
            </w:pPr>
            <w:r>
              <w:rPr>
                <w:sz w:val="24"/>
              </w:rPr>
              <w:t>Rite of Passage: Woodford Home</w:t>
            </w:r>
          </w:p>
        </w:tc>
        <w:tc>
          <w:tcPr>
            <w:tcW w:w="4207" w:type="dxa"/>
          </w:tcPr>
          <w:p>
            <w:pPr>
              <w:pStyle w:val="TableParagraph"/>
              <w:spacing w:before="140"/>
              <w:rPr>
                <w:sz w:val="24"/>
              </w:rPr>
            </w:pPr>
            <w:r>
              <w:rPr>
                <w:sz w:val="24"/>
              </w:rPr>
              <w:t>Not to exceed $700.00</w:t>
            </w:r>
          </w:p>
        </w:tc>
      </w:tr>
      <w:tr>
        <w:trPr>
          <w:trHeight w:val="561" w:hRule="atLeast"/>
        </w:trPr>
        <w:tc>
          <w:tcPr>
            <w:tcW w:w="4253" w:type="dxa"/>
          </w:tcPr>
          <w:p>
            <w:pPr>
              <w:pStyle w:val="TableParagraph"/>
              <w:ind w:left="105"/>
              <w:rPr>
                <w:sz w:val="24"/>
              </w:rPr>
            </w:pPr>
            <w:r>
              <w:rPr>
                <w:sz w:val="24"/>
              </w:rPr>
              <w:t>Saginaw County Jail</w:t>
            </w:r>
          </w:p>
        </w:tc>
        <w:tc>
          <w:tcPr>
            <w:tcW w:w="4207" w:type="dxa"/>
          </w:tcPr>
          <w:p>
            <w:pPr>
              <w:pStyle w:val="TableParagraph"/>
              <w:rPr>
                <w:sz w:val="24"/>
              </w:rPr>
            </w:pPr>
            <w:r>
              <w:rPr>
                <w:sz w:val="24"/>
              </w:rPr>
              <w:t>Not to exceed $500.00</w:t>
            </w:r>
          </w:p>
        </w:tc>
      </w:tr>
      <w:tr>
        <w:trPr>
          <w:trHeight w:val="563" w:hRule="atLeast"/>
        </w:trPr>
        <w:tc>
          <w:tcPr>
            <w:tcW w:w="4253" w:type="dxa"/>
          </w:tcPr>
          <w:p>
            <w:pPr>
              <w:pStyle w:val="TableParagraph"/>
              <w:ind w:left="105"/>
              <w:rPr>
                <w:sz w:val="24"/>
              </w:rPr>
            </w:pPr>
            <w:r>
              <w:rPr>
                <w:sz w:val="24"/>
              </w:rPr>
              <w:t>Summit Academy</w:t>
            </w:r>
          </w:p>
        </w:tc>
        <w:tc>
          <w:tcPr>
            <w:tcW w:w="4207" w:type="dxa"/>
          </w:tcPr>
          <w:p>
            <w:pPr>
              <w:pStyle w:val="TableParagraph"/>
              <w:rPr>
                <w:sz w:val="24"/>
              </w:rPr>
            </w:pPr>
            <w:r>
              <w:rPr>
                <w:sz w:val="24"/>
              </w:rPr>
              <w:t>Not to exceed $550.00</w:t>
            </w:r>
          </w:p>
        </w:tc>
      </w:tr>
      <w:tr>
        <w:trPr>
          <w:trHeight w:val="561" w:hRule="atLeast"/>
        </w:trPr>
        <w:tc>
          <w:tcPr>
            <w:tcW w:w="4253" w:type="dxa"/>
          </w:tcPr>
          <w:p>
            <w:pPr>
              <w:pStyle w:val="TableParagraph"/>
              <w:spacing w:before="140"/>
              <w:ind w:left="105"/>
              <w:rPr>
                <w:sz w:val="24"/>
              </w:rPr>
            </w:pPr>
            <w:r>
              <w:rPr>
                <w:sz w:val="24"/>
              </w:rPr>
              <w:t>Woodward Academy</w:t>
            </w:r>
          </w:p>
        </w:tc>
        <w:tc>
          <w:tcPr>
            <w:tcW w:w="4207" w:type="dxa"/>
          </w:tcPr>
          <w:p>
            <w:pPr>
              <w:pStyle w:val="TableParagraph"/>
              <w:spacing w:before="140"/>
              <w:rPr>
                <w:sz w:val="24"/>
              </w:rPr>
            </w:pPr>
            <w:r>
              <w:rPr>
                <w:sz w:val="24"/>
              </w:rPr>
              <w:t>Not to exceed $400.00</w:t>
            </w:r>
          </w:p>
        </w:tc>
      </w:tr>
    </w:tbl>
    <w:sectPr>
      <w:pgSz w:w="12240" w:h="15840"/>
      <w:pgMar w:top="144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spacing w:before="143"/>
      <w:ind w:left="107"/>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2026-09-23T14:50:38Z</dcterms:created>
  <dcterms:modified xsi:type="dcterms:W3CDTF">2026-09-23T14:50:38Z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